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left="0" w:leftChars="0" w:firstLine="0" w:firstLineChars="0"/>
        <w:jc w:val="center"/>
        <w:rPr>
          <w:rFonts w:hint="eastAsia" w:asciiTheme="majorEastAsia" w:hAnsiTheme="majorEastAsia" w:eastAsiaTheme="majorEastAsia" w:cstheme="majorEastAsia"/>
          <w:b/>
          <w:bCs/>
          <w:kern w:val="2"/>
          <w:sz w:val="48"/>
          <w:szCs w:val="48"/>
          <w:lang w:val="en-US" w:eastAsia="zh-CN" w:bidi="ar-SA"/>
        </w:rPr>
      </w:pPr>
      <w:r>
        <w:rPr>
          <w:rFonts w:hint="eastAsia" w:asciiTheme="majorEastAsia" w:hAnsiTheme="majorEastAsia" w:eastAsiaTheme="majorEastAsia" w:cstheme="majorEastAsia"/>
          <w:b/>
          <w:bCs/>
          <w:kern w:val="2"/>
          <w:sz w:val="48"/>
          <w:szCs w:val="48"/>
          <w:lang w:val="en-US" w:eastAsia="zh-CN" w:bidi="ar-SA"/>
        </w:rPr>
        <w:t>黄石市民主党派机关事务管理办公室</w:t>
      </w:r>
    </w:p>
    <w:p>
      <w:pPr>
        <w:pStyle w:val="13"/>
        <w:ind w:left="0" w:leftChars="0" w:firstLine="0" w:firstLineChars="0"/>
        <w:jc w:val="center"/>
        <w:rPr>
          <w:rFonts w:hint="eastAsia" w:asciiTheme="majorEastAsia" w:hAnsiTheme="majorEastAsia" w:eastAsiaTheme="majorEastAsia" w:cstheme="majorEastAsia"/>
          <w:b/>
          <w:bCs/>
          <w:kern w:val="2"/>
          <w:sz w:val="48"/>
          <w:szCs w:val="48"/>
          <w:lang w:val="en-US" w:eastAsia="zh-CN" w:bidi="ar-SA"/>
        </w:rPr>
      </w:pPr>
      <w:r>
        <w:rPr>
          <w:rFonts w:hint="eastAsia" w:asciiTheme="majorEastAsia" w:hAnsiTheme="majorEastAsia" w:eastAsiaTheme="majorEastAsia" w:cstheme="majorEastAsia"/>
          <w:b/>
          <w:bCs/>
          <w:kern w:val="2"/>
          <w:sz w:val="48"/>
          <w:szCs w:val="48"/>
          <w:lang w:val="en-US" w:eastAsia="zh-CN" w:bidi="ar-SA"/>
        </w:rPr>
        <w:t>2020年度部门决算公开说明</w:t>
      </w:r>
    </w:p>
    <w:p>
      <w:pPr>
        <w:pStyle w:val="13"/>
        <w:ind w:left="0" w:leftChars="0" w:firstLine="0" w:firstLineChars="0"/>
        <w:jc w:val="center"/>
        <w:rPr>
          <w:rFonts w:hint="eastAsia" w:asciiTheme="majorEastAsia" w:hAnsiTheme="majorEastAsia" w:eastAsiaTheme="majorEastAsia" w:cstheme="majorEastAsia"/>
          <w:b/>
          <w:bCs/>
          <w:kern w:val="2"/>
          <w:sz w:val="48"/>
          <w:szCs w:val="48"/>
          <w:lang w:val="en-US" w:eastAsia="zh-CN" w:bidi="ar-SA"/>
        </w:rPr>
      </w:pPr>
      <w:r>
        <w:rPr>
          <w:rFonts w:hint="eastAsia" w:asciiTheme="majorEastAsia" w:hAnsiTheme="majorEastAsia" w:eastAsiaTheme="majorEastAsia" w:cstheme="majorEastAsia"/>
          <w:b/>
          <w:bCs/>
          <w:kern w:val="2"/>
          <w:sz w:val="48"/>
          <w:szCs w:val="48"/>
          <w:lang w:val="en-US" w:eastAsia="zh-CN" w:bidi="ar-SA"/>
        </w:rPr>
        <w:t>目  录</w:t>
      </w:r>
    </w:p>
    <w:p>
      <w:pPr>
        <w:pStyle w:val="13"/>
        <w:jc w:val="center"/>
        <w:rPr>
          <w:rFonts w:hint="eastAsia" w:ascii="黑体" w:hAnsi="黑体" w:eastAsia="黑体"/>
          <w:sz w:val="36"/>
          <w:szCs w:val="36"/>
        </w:rPr>
      </w:pP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一、部门职责</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二、机构设置</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三、2020年度部门决算情况说明</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（一）收支决算的总体情况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（二）决算收入增减变化情况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（三）决算支出增减变化情况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（四）财政拨款收入支出决算情况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（五）一般公共预算财政拨款支出、基本支出决算情况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（六）“三公”经费支出情况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（七）机关运行经费支出情况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（八）政府采购支出情况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（九）国有资产占用情况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四、2020年度预算绩效情况的说明</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（一）预算绩效管理工作开展情况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（二）部门决算中项目绩效自评结果</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（三）绩效评级结果应用情况</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五、名词解释</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六、附件（公开的决算表格）</w:t>
      </w:r>
    </w:p>
    <w:p>
      <w:pPr>
        <w:pStyle w:val="13"/>
        <w:ind w:left="0" w:leftChars="0" w:firstLine="0" w:firstLineChars="0"/>
        <w:jc w:val="left"/>
        <w:rPr>
          <w:rFonts w:hint="eastAsia" w:ascii="宋体" w:hAnsi="宋体" w:eastAsia="宋体" w:cs="宋体"/>
          <w:kern w:val="2"/>
          <w:sz w:val="28"/>
          <w:szCs w:val="28"/>
          <w:highlight w:val="none"/>
          <w:lang w:val="en-US" w:eastAsia="zh-CN" w:bidi="ar-SA"/>
        </w:rPr>
      </w:pPr>
    </w:p>
    <w:p>
      <w:pPr>
        <w:pStyle w:val="13"/>
        <w:jc w:val="both"/>
        <w:rPr>
          <w:rFonts w:hint="eastAsia" w:ascii="黑体" w:hAnsi="黑体" w:eastAsia="黑体"/>
          <w:sz w:val="36"/>
          <w:szCs w:val="36"/>
          <w:highlight w:val="none"/>
          <w:lang w:eastAsia="zh-CN"/>
        </w:rPr>
      </w:pPr>
    </w:p>
    <w:p>
      <w:pPr>
        <w:pStyle w:val="13"/>
        <w:ind w:left="0" w:leftChars="0" w:firstLine="640" w:firstLineChars="200"/>
        <w:jc w:val="left"/>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一、部门职责</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黄石市民主党派机关事务管理办公室主要职责：在中共黄石市委统战部领导下，为市各民主党派机关提供服务的后勤管理及协调的机构。各民主党派市委会办公室在各民主党派市委会的领导下独立开展工作。</w:t>
      </w:r>
    </w:p>
    <w:p>
      <w:pPr>
        <w:pStyle w:val="13"/>
        <w:ind w:left="0" w:leftChars="0" w:firstLine="640" w:firstLineChars="200"/>
        <w:jc w:val="left"/>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二、机构设置</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黄石市民主党派设中国国民党革命委员会黄石市委会、中国民主同盟黄石市委会、中国民主建国会黄石市委会、中国民主促进会黄石市委会、中国农工党黄石市委会、致公党黄石市委会、九三学社黄石市委会、民主党派机关事务管理办公室。</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2020年我单位共有在岗在编人员17人,2020年调走1人，调入3人，年末实有在岗在编人员17人，另有1名编内聘用人员，3名聘用人员。 </w:t>
      </w:r>
    </w:p>
    <w:p>
      <w:pPr>
        <w:pStyle w:val="13"/>
        <w:ind w:left="0" w:leftChars="0" w:firstLine="640" w:firstLineChars="200"/>
        <w:jc w:val="left"/>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三、2020年度部门决算情况说明</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（一）收支决算的总体情况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年收入457.75万元，其中财政拨款457.75万元，其他收入0万元。本年支出457.75万元，其中：基本支出390.86万元（人员经费支出343.39万元,占总支出的75.01%；日常公用经费支出47.47万元，占总支出10.37%），项目支出66.90万元（行政事业类项目支出66.90万元，占总支出的14.61%）。</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（二）决算收入增减变化情况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本年收入457.75万元与去年同期537.55万元减少79.79万元，减幅14.84%。本年度实行收付实现制，财政拨款收入以支定收，因此导致本年收入减少。</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（三）决算支出增减变化情况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年支出457.75万元与去年同期537.63万元，减少79.87万元，减幅14.86%。其中：人员经费支出343.39万元，比去年同期减少47.22万元，减幅12.09%；公用经费支出47.47万元，比去年同期增加0.43万元，增幅0.92%,项目支出66.9万元，比去年同期减少33.09万元，减幅33.09%，厉行勤俭节约，严格成本控制，减少项目经费开支。</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（四）财政拨款收入支出决算情况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本年财政拨款收入457.75万元，财政拨款支出457.75万元，其中人员经费支出343.39万元，日常公用经费支出47.47万元，项目经费支出66.90万元。</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(五)一般公共预算财政拨款支出、基本支出决算情况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本年一般公共预算财政拨款支出457.75万元，其中人员经费支出343.39万元，日常公用经费支出47.47万元，项目支出66.90万元。</w:t>
      </w:r>
    </w:p>
    <w:p>
      <w:pPr>
        <w:numPr>
          <w:ilvl w:val="0"/>
          <w:numId w:val="1"/>
        </w:numPr>
        <w:snapToGrid w:val="0"/>
        <w:spacing w:line="520" w:lineRule="exact"/>
        <w:ind w:firstLine="320" w:firstLineChars="1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“三公”经费支出情况</w:t>
      </w:r>
    </w:p>
    <w:p>
      <w:pPr>
        <w:numPr>
          <w:ilvl w:val="0"/>
          <w:numId w:val="0"/>
        </w:numPr>
        <w:snapToGrid w:val="0"/>
        <w:spacing w:line="520" w:lineRule="exact"/>
        <w:ind w:firstLine="320" w:firstLineChars="1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公”经费年初预算数10.37万元（公务接待费6.00万元，公务用车运行维护费4.37万元）、上年“三公”经费决算数3.55万元（公务接待费1.76万元，公务用车运行维护费1.80万元，公务用车购置费0万元，因公出国（境）费用0万元，本年“三公”经费决算数2.19万元（公务接待费1.34万元，公务用车运行维护费0.85万元,公务用车购置费0万元，因公出国（境）费0元），与上年对比减幅38.49%，厉行勤俭节约，严格成本控制，减少三公经费支出。车辆本单位账面数量2台，实际保有量1台。因公出国（境）费用0万元；公务接待13批次共计90人次。</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（七）机关运行经费支出情况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本单位机关运行经费本年支出47.47万元，上年支出46.94万元，增加0.53万元，增幅1.12%。</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（八）政府采购支出情况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政府采购预算21.9万元，其中：货物类6.3万元、工程类0万元、服务类15.6万元；本年政府采购支出12.74万元，其中货物类6.12万元、工程类0万元、服务类16.62万元。</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（九）国有资产占用情况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国有资产占有情况说明为：截至 2020 年 12 月 31 日，我单位账面共有车辆2辆，实际有应急保障用车1辆，单位价值 50 万元以上通用设备 0台（套）；单位价值 100 万元以上专用设备0 台（套）。</w:t>
      </w:r>
    </w:p>
    <w:p>
      <w:pPr>
        <w:pStyle w:val="13"/>
        <w:ind w:left="0" w:leftChars="0" w:firstLine="640" w:firstLineChars="200"/>
        <w:jc w:val="left"/>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四、2020年度预算绩效情况的说明</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(1)、预算绩效管理工作开展情况</w:t>
      </w:r>
    </w:p>
    <w:p>
      <w:pPr>
        <w:snapToGrid w:val="0"/>
        <w:spacing w:line="52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根据预算绩效管理要求，本单位组织对2020年度一般公共预算项目支出全面开展绩效自评，共涉及项目1个，资金66.9万元，占一般公共预算项目支出总额的14.61％。从评价情况来看，绩效目标基本达成。我市各民主党派积极加强自身建设，认真履行参政议政、民主监督职能，围绕全市中心，服务大局，深入调研反映社情民意，建言献策，为全市经济社会各项建设做出了应有贡献。</w:t>
      </w:r>
    </w:p>
    <w:p>
      <w:pPr>
        <w:keepNext w:val="0"/>
        <w:keepLines w:val="0"/>
        <w:pageBreakBefore w:val="0"/>
        <w:kinsoku/>
        <w:wordWrap/>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kern w:val="2"/>
          <w:sz w:val="32"/>
          <w:szCs w:val="32"/>
          <w:highlight w:val="none"/>
          <w:lang w:val="en-US" w:eastAsia="zh-CN" w:bidi="ar-SA"/>
        </w:rPr>
        <w:t>组织开展部门整体支出绩效评价，评价情况来看，机关围绕服务大局做好参政议政工作，围绕社会服务做好“同心品牌”等</w:t>
      </w:r>
      <w:r>
        <w:rPr>
          <w:rFonts w:hint="eastAsia" w:ascii="仿宋_GB2312" w:hAnsi="仿宋_GB2312" w:eastAsia="仿宋_GB2312" w:cs="仿宋_GB2312"/>
          <w:color w:val="auto"/>
          <w:sz w:val="32"/>
          <w:szCs w:val="32"/>
          <w:lang w:eastAsia="zh-CN"/>
        </w:rPr>
        <w:t>社会服务</w:t>
      </w:r>
      <w:r>
        <w:rPr>
          <w:rFonts w:hint="eastAsia" w:ascii="仿宋_GB2312" w:hAnsi="仿宋_GB2312" w:eastAsia="仿宋_GB2312" w:cs="仿宋_GB2312"/>
          <w:color w:val="auto"/>
          <w:sz w:val="32"/>
          <w:szCs w:val="32"/>
        </w:rPr>
        <w:t>工作，围绕提高</w:t>
      </w:r>
      <w:r>
        <w:rPr>
          <w:rFonts w:hint="eastAsia" w:ascii="仿宋_GB2312" w:hAnsi="仿宋_GB2312" w:eastAsia="仿宋_GB2312" w:cs="仿宋_GB2312"/>
          <w:color w:val="auto"/>
          <w:sz w:val="32"/>
          <w:szCs w:val="32"/>
          <w:lang w:eastAsia="zh-CN"/>
        </w:rPr>
        <w:t>履职</w:t>
      </w:r>
      <w:r>
        <w:rPr>
          <w:rFonts w:hint="eastAsia" w:ascii="仿宋_GB2312" w:hAnsi="仿宋_GB2312" w:eastAsia="仿宋_GB2312" w:cs="仿宋_GB2312"/>
          <w:color w:val="auto"/>
          <w:sz w:val="32"/>
          <w:szCs w:val="32"/>
        </w:rPr>
        <w:t>能力</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自身能力建设</w:t>
      </w:r>
      <w:r>
        <w:rPr>
          <w:rFonts w:hint="eastAsia" w:ascii="仿宋_GB2312" w:hAnsi="仿宋_GB2312" w:eastAsia="仿宋_GB2312" w:cs="仿宋_GB2312"/>
          <w:color w:val="auto"/>
          <w:sz w:val="32"/>
          <w:szCs w:val="32"/>
          <w:lang w:eastAsia="zh-CN"/>
        </w:rPr>
        <w:t>等。</w:t>
      </w:r>
    </w:p>
    <w:p>
      <w:pPr>
        <w:spacing w:line="580" w:lineRule="exact"/>
        <w:ind w:firstLine="64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（2）部门决算中项目绩效自评结果 </w:t>
      </w:r>
    </w:p>
    <w:p>
      <w:pPr>
        <w:keepNext w:val="0"/>
        <w:keepLines w:val="0"/>
        <w:pageBreakBefore w:val="0"/>
        <w:kinsoku/>
        <w:wordWrap/>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七个民主党派</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项目绩效自评综述：项目全年预算数为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76</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万元，执行数为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66.9</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万元，完成预算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％。主要产出和效益：一是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重视思想政治</w:t>
      </w:r>
      <w:r>
        <w:rPr>
          <w:rFonts w:hint="eastAsia" w:ascii="仿宋_GB2312" w:hAnsi="仿宋_GB2312" w:eastAsia="仿宋_GB2312" w:cs="仿宋_GB2312"/>
          <w:color w:val="000000" w:themeColor="text1"/>
          <w:sz w:val="32"/>
          <w:szCs w:val="32"/>
          <w:highlight w:val="none"/>
          <w14:textFill>
            <w14:solidFill>
              <w14:schemeClr w14:val="tx1"/>
            </w14:solidFill>
          </w14:textFill>
        </w:rPr>
        <w:t>学习教育，巩固多党合作的共同政治基础。2020年各党派以深入学习贯彻习近平新时代中国特色社会主义思想</w:t>
      </w:r>
      <w:r>
        <w:rPr>
          <w:rFonts w:hint="eastAsia" w:ascii="仿宋_GB2312" w:hAnsi="仿宋_GB2312" w:eastAsia="仿宋_GB2312" w:cs="仿宋_GB2312"/>
          <w:sz w:val="32"/>
          <w:szCs w:val="32"/>
          <w:highlight w:val="none"/>
        </w:rPr>
        <w:t>作为首要政治任务，围绕“不忘合作初心，继续携手前进”主题教育活动，开展多层次学习培训</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不断加强思想政治教育，巩固多党合作共同思想政治基础。</w:t>
      </w:r>
      <w:r>
        <w:rPr>
          <w:rFonts w:hint="eastAsia" w:ascii="仿宋_GB2312" w:hAnsi="仿宋_GB2312" w:eastAsia="仿宋_GB2312" w:cs="仿宋_GB2312"/>
          <w:sz w:val="32"/>
          <w:szCs w:val="32"/>
          <w:highlight w:val="none"/>
          <w:lang w:eastAsia="zh-CN"/>
        </w:rPr>
        <w:t>二是</w:t>
      </w:r>
      <w:r>
        <w:rPr>
          <w:rFonts w:hint="eastAsia" w:ascii="仿宋_GB2312" w:hAnsi="仿宋_GB2312" w:eastAsia="仿宋_GB2312" w:cs="仿宋_GB2312"/>
          <w:color w:val="auto"/>
          <w:sz w:val="32"/>
          <w:szCs w:val="32"/>
          <w:highlight w:val="none"/>
          <w:lang w:val="en-US" w:eastAsia="zh-CN"/>
        </w:rPr>
        <w:t>积极参政议政。各</w:t>
      </w:r>
      <w:bookmarkStart w:id="0" w:name="_GoBack"/>
      <w:bookmarkEnd w:id="0"/>
      <w:r>
        <w:rPr>
          <w:rFonts w:hint="eastAsia" w:ascii="仿宋_GB2312" w:hAnsi="仿宋_GB2312" w:eastAsia="仿宋_GB2312" w:cs="仿宋_GB2312"/>
          <w:color w:val="auto"/>
          <w:sz w:val="32"/>
          <w:szCs w:val="32"/>
          <w:highlight w:val="none"/>
          <w:lang w:val="en-US" w:eastAsia="zh-CN"/>
        </w:rPr>
        <w:t>民主党派积极参与政党协商“季度座谈会”、政府的“征求意见会”和政协的“月度协商会”，积极建言献策，提交了集体提案90多篇，个人提案120余篇，立案50余篇，内容涉及我市经济社会发展中的有关重大问题及广大人民群众所关心的教育、卫生、环境与健康、科技创新等热点问题。三是</w:t>
      </w:r>
      <w:r>
        <w:rPr>
          <w:rFonts w:hint="eastAsia" w:ascii="仿宋_GB2312" w:hAnsi="仿宋_GB2312" w:eastAsia="仿宋_GB2312" w:cs="仿宋_GB2312"/>
          <w:color w:val="auto"/>
          <w:kern w:val="0"/>
          <w:sz w:val="32"/>
          <w:szCs w:val="32"/>
          <w:highlight w:val="none"/>
          <w:lang w:val="en-US" w:eastAsia="zh-CN"/>
        </w:rPr>
        <w:t>深入开展社会服务活动。</w:t>
      </w:r>
      <w:r>
        <w:rPr>
          <w:rFonts w:hint="eastAsia" w:ascii="仿宋_GB2312" w:hAnsi="仿宋_GB2312" w:eastAsia="仿宋_GB2312" w:cs="仿宋_GB2312"/>
          <w:color w:val="auto"/>
          <w:sz w:val="32"/>
          <w:szCs w:val="32"/>
          <w:highlight w:val="none"/>
          <w:lang w:val="en-US" w:eastAsia="zh-CN"/>
        </w:rPr>
        <w:t>各民主党派分别开展了多项服务活动，在社会形成广泛肯定。如民革市委会组织党员开展</w:t>
      </w:r>
      <w:r>
        <w:rPr>
          <w:rFonts w:hint="eastAsia" w:ascii="仿宋_GB2312" w:hAnsi="仿宋_GB2312" w:eastAsia="仿宋_GB2312" w:cs="仿宋_GB2312"/>
          <w:b w:val="0"/>
          <w:bCs w:val="0"/>
          <w:color w:val="000000"/>
          <w:sz w:val="32"/>
          <w:szCs w:val="32"/>
          <w:highlight w:val="none"/>
          <w:lang w:val="en-US" w:eastAsia="zh-CN"/>
        </w:rPr>
        <w:t>“迎新春、送春联”、健康知识讲座等</w:t>
      </w:r>
      <w:r>
        <w:rPr>
          <w:rFonts w:hint="eastAsia" w:ascii="仿宋_GB2312" w:hAnsi="仿宋_GB2312" w:eastAsia="仿宋_GB2312" w:cs="仿宋_GB2312"/>
          <w:color w:val="auto"/>
          <w:sz w:val="32"/>
          <w:szCs w:val="32"/>
          <w:highlight w:val="none"/>
          <w:lang w:val="en-US" w:eastAsia="zh-CN"/>
        </w:rPr>
        <w:t>；民盟市委会春节期间开展“三送”活动，为居民书写春联近200幅，提供医疗服务近20人次，资助10户贫困户价值近200元的过节物资;民建市委会继续擦亮同心律师品牌，长期给居民做法律咨询，督导信访维稳工作；民进市委会组织会员向“湖北希望工程民进壹小时爱心基金”捐赠价值10万元的小鱼易连远程教学设备和外教双师免费课程；农工党市委会开展“送医送法送服务”活动，免费服务群众130余人，发放药品共计约15000元；致公党市委会开展“致福”工程进社区（村组）活动；九三学社市委会利用好“九三科学讲堂”这个平台，在基层开展科普知识讲座，将社会服务的方向向科技支持、民生改善转变，着力打造新品牌。</w:t>
      </w:r>
      <w:r>
        <w:rPr>
          <w:rFonts w:hint="eastAsia" w:ascii="仿宋_GB2312" w:hAnsi="仿宋_GB2312" w:eastAsia="仿宋_GB2312" w:cs="仿宋_GB2312"/>
          <w:color w:val="auto"/>
          <w:kern w:val="0"/>
          <w:sz w:val="32"/>
          <w:szCs w:val="32"/>
          <w:highlight w:val="none"/>
          <w:lang w:val="en-US" w:eastAsia="zh-CN"/>
        </w:rPr>
        <w:t>四是拓展服务范围，社会公益活动收获好评。五是调研成果成绩突出。各民主党派全年多次组织开展调研活动，全年累计完成100余篇调研报告和文章，形成了一批有价值、有分量的调研成果。六是凝聚力量助推精准扶贫。各民主党派继续发扬扶贫济困的优良传统，在社会上引起了广泛好评。</w:t>
      </w:r>
    </w:p>
    <w:p>
      <w:pPr>
        <w:keepNext w:val="0"/>
        <w:keepLines w:val="0"/>
        <w:pageBreakBefore w:val="0"/>
        <w:kinsoku/>
        <w:wordWrap/>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发现的问题及原因：</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color w:val="auto"/>
          <w:sz w:val="32"/>
          <w:szCs w:val="32"/>
          <w:highlight w:val="none"/>
          <w:lang w:eastAsia="zh-CN"/>
        </w:rPr>
        <w:t>预算执行不精确，原因主要在于预算编制和执行有差异，项目经费存在结余。</w:t>
      </w:r>
    </w:p>
    <w:p>
      <w:pPr>
        <w:keepNext w:val="0"/>
        <w:keepLines w:val="0"/>
        <w:pageBreakBefore w:val="0"/>
        <w:kinsoku/>
        <w:wordWrap/>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下一步改进措施：一是</w:t>
      </w:r>
      <w:r>
        <w:rPr>
          <w:rFonts w:hint="eastAsia" w:ascii="仿宋_GB2312" w:hAnsi="仿宋_GB2312" w:eastAsia="仿宋_GB2312" w:cs="仿宋_GB2312"/>
          <w:color w:val="auto"/>
          <w:sz w:val="32"/>
          <w:szCs w:val="32"/>
          <w:highlight w:val="none"/>
          <w:lang w:val="en-US" w:eastAsia="zh-CN"/>
        </w:rPr>
        <w:t>将进一步加强专项资金使用预算计划，提高预算精准性和使用率，保障好市级各民主党派日常工作正常运转，不断加强自身建设，更好地发挥参政党职能作用；</w:t>
      </w:r>
      <w:r>
        <w:rPr>
          <w:rFonts w:hint="eastAsia" w:ascii="仿宋_GB2312" w:hAnsi="仿宋_GB2312" w:eastAsia="仿宋_GB2312" w:cs="仿宋_GB2312"/>
          <w:sz w:val="32"/>
          <w:szCs w:val="32"/>
          <w:highlight w:val="none"/>
        </w:rPr>
        <w:t>二是</w:t>
      </w:r>
      <w:r>
        <w:rPr>
          <w:rFonts w:hint="eastAsia" w:ascii="仿宋_GB2312" w:hAnsi="仿宋_GB2312" w:eastAsia="仿宋_GB2312" w:cs="仿宋_GB2312"/>
          <w:color w:val="auto"/>
          <w:sz w:val="32"/>
          <w:szCs w:val="32"/>
          <w:highlight w:val="none"/>
          <w:lang w:eastAsia="zh-CN"/>
        </w:rPr>
        <w:t>加强财务知识学习，提高业务能力，完善机关财务管理办法，提高预算精确性。</w:t>
      </w:r>
    </w:p>
    <w:p>
      <w:pPr>
        <w:spacing w:line="580" w:lineRule="exact"/>
        <w:ind w:firstLine="64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（3）绩效评价结果应用情况</w:t>
      </w:r>
    </w:p>
    <w:p>
      <w:pPr>
        <w:keepNext w:val="0"/>
        <w:keepLines w:val="0"/>
        <w:pageBreakBefore w:val="0"/>
        <w:kinsoku/>
        <w:wordWrap/>
        <w:autoSpaceDE/>
        <w:autoSpaceDN/>
        <w:bidi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1、部门绩效评价结果应用情况。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640" w:firstLineChars="200"/>
        <w:textAlignment w:val="auto"/>
        <w:rPr>
          <w:rFonts w:hint="default" w:ascii="仿宋_GB2312" w:hAnsi="宋体" w:eastAsia="仿宋_GB2312" w:cs="仿宋_GB2312"/>
          <w:color w:val="auto"/>
          <w:kern w:val="2"/>
          <w:sz w:val="32"/>
          <w:szCs w:val="32"/>
          <w:lang w:val="en-US" w:eastAsia="zh-CN" w:bidi="ar-SA"/>
        </w:rPr>
      </w:pPr>
      <w:r>
        <w:rPr>
          <w:rFonts w:hint="eastAsia" w:ascii="仿宋_GB2312" w:hAnsi="宋体" w:eastAsia="仿宋_GB2312" w:cs="仿宋_GB2312"/>
          <w:color w:val="auto"/>
          <w:kern w:val="2"/>
          <w:sz w:val="32"/>
          <w:szCs w:val="32"/>
          <w:lang w:val="en-US" w:eastAsia="zh-CN" w:bidi="ar-SA"/>
        </w:rPr>
        <w:t>优化资金使用力度,最大力度盘活资金使用率。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640" w:firstLineChars="200"/>
        <w:textAlignment w:val="auto"/>
        <w:rPr>
          <w:rFonts w:hint="eastAsia" w:ascii="仿宋_GB2312" w:hAnsi="宋体" w:eastAsia="仿宋_GB2312" w:cs="仿宋_GB2312"/>
          <w:color w:val="auto"/>
          <w:kern w:val="2"/>
          <w:sz w:val="32"/>
          <w:szCs w:val="32"/>
          <w:lang w:val="en-US" w:eastAsia="zh-CN" w:bidi="ar-SA"/>
        </w:rPr>
      </w:pPr>
      <w:r>
        <w:rPr>
          <w:rFonts w:hint="eastAsia" w:ascii="仿宋_GB2312" w:hAnsi="宋体" w:eastAsia="仿宋_GB2312" w:cs="仿宋_GB2312"/>
          <w:color w:val="auto"/>
          <w:kern w:val="2"/>
          <w:sz w:val="32"/>
          <w:szCs w:val="32"/>
          <w:lang w:val="en-US" w:eastAsia="zh-CN" w:bidi="ar-SA"/>
        </w:rPr>
        <w:t>2、部门绩效评价结果拟应用情况。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640" w:firstLineChars="200"/>
        <w:textAlignment w:val="auto"/>
        <w:rPr>
          <w:rFonts w:hint="default" w:ascii="仿宋_GB2312" w:hAnsi="宋体" w:eastAsia="仿宋_GB2312" w:cs="仿宋_GB2312"/>
          <w:color w:val="auto"/>
          <w:kern w:val="2"/>
          <w:sz w:val="32"/>
          <w:szCs w:val="32"/>
          <w:lang w:val="en-US" w:eastAsia="zh-CN" w:bidi="ar-SA"/>
        </w:rPr>
      </w:pPr>
      <w:r>
        <w:rPr>
          <w:rFonts w:hint="eastAsia" w:ascii="仿宋_GB2312" w:hAnsi="宋体" w:eastAsia="仿宋_GB2312" w:cs="仿宋_GB2312"/>
          <w:color w:val="auto"/>
          <w:kern w:val="2"/>
          <w:sz w:val="32"/>
          <w:szCs w:val="32"/>
          <w:lang w:val="en-US" w:eastAsia="zh-CN" w:bidi="ar-SA"/>
        </w:rPr>
        <w:t>根据评价情况，在2022年度预算编制时进行数据参考。</w:t>
      </w:r>
    </w:p>
    <w:p>
      <w:pPr>
        <w:keepNext w:val="0"/>
        <w:keepLines w:val="0"/>
        <w:pageBreakBefore w:val="0"/>
        <w:kinsoku/>
        <w:wordWrap/>
        <w:autoSpaceDE/>
        <w:autoSpaceDN/>
        <w:bidi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13"/>
        <w:ind w:left="0" w:leftChars="0"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五、名词解释</w:t>
      </w:r>
    </w:p>
    <w:p>
      <w:pPr>
        <w:pStyle w:val="13"/>
        <w:ind w:left="0" w:leftChars="0"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1、财政拨款收入：指市级财政当年拨付的资金。</w:t>
      </w:r>
    </w:p>
    <w:p>
      <w:pPr>
        <w:pStyle w:val="13"/>
        <w:ind w:left="0" w:leftChars="0"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2、社会保障就业（类）行政事业单位离退休（款）归口管理的行政单位离退休（项）：指实行归口管理的行政单位(包括实行公务员管理的事业单位)开支的离退休经费。</w:t>
      </w:r>
    </w:p>
    <w:p>
      <w:pPr>
        <w:pStyle w:val="13"/>
        <w:ind w:left="0" w:leftChars="0"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3.医疗卫生（类）医疗保障（款）行政单位医疗（项）：指财政部门集中安排的行政单位基本医疗保险缴费经费，未参加医疗保险的行政单位的公费医疗经费，按国家规定享受离休人员的医疗经费。</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4、其他收入：指除“财政拨款收入”、“事业收入”、“事业单位经营收入”等以外的收入。</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5、上年结转：指以前年度尚未完成、结转到本年仍按原规定用途继续使用的资金。</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6、机关运行经费支出：反映用于保障机构正常运行的经费。</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三公”经费：指用财政拨款安排的因公出国（境）费、公务用车购置及运行维护、公务接待费。其中，因公出国（境）费，指单位工作人员公务出国（境）的住宿费、旅费、伙食补助费、杂费、培训费等支出；公务用车购置及运行费，指单位公务用车购置及租用费、燃料费、维修费、过路过桥费、保险费、安全奖励费用等支出；公务接待费，指单位按规定开支的各类公务接待、商务接待（含外宾接待）支出。</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六、附件（公开的决算表格）</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收入支出决算总表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2、收入决算表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4、财政拨款收入支出决算总表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5、一般公共预算财政拨款支出决算表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6、一般公共预算财政拨款基本支出决算表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7、财政拨款“三公”经费支出决算表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8、政府性基金预算财政拨款收入支出决算表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9、国有资本经营预算财政拨款支出决算表</w:t>
      </w: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p>
    <w:p>
      <w:pPr>
        <w:pStyle w:val="13"/>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p>
    <w:p>
      <w:pPr>
        <w:pStyle w:val="13"/>
        <w:ind w:left="0" w:leftChars="0" w:firstLine="0" w:firstLineChars="0"/>
        <w:jc w:val="left"/>
        <w:rPr>
          <w:rFonts w:hint="eastAsia" w:ascii="仿宋_GB2312" w:hAnsi="仿宋_GB2312" w:eastAsia="仿宋_GB2312" w:cs="仿宋_GB2312"/>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00007A87" w:usb1="80000000" w:usb2="00000008" w:usb3="00000000" w:csb0="400001FF" w:csb1="FFFF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1FABCD"/>
    <w:multiLevelType w:val="singleLevel"/>
    <w:tmpl w:val="F01FABC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F7BC7"/>
    <w:rsid w:val="01C31CEA"/>
    <w:rsid w:val="0380423A"/>
    <w:rsid w:val="04711C99"/>
    <w:rsid w:val="061568B0"/>
    <w:rsid w:val="06292494"/>
    <w:rsid w:val="08ED2107"/>
    <w:rsid w:val="0A33443D"/>
    <w:rsid w:val="0B783477"/>
    <w:rsid w:val="0BB8777B"/>
    <w:rsid w:val="0D48635B"/>
    <w:rsid w:val="0E7F56E7"/>
    <w:rsid w:val="103212D0"/>
    <w:rsid w:val="11022B09"/>
    <w:rsid w:val="115009A6"/>
    <w:rsid w:val="121F6CC3"/>
    <w:rsid w:val="126B7053"/>
    <w:rsid w:val="129A00AC"/>
    <w:rsid w:val="133E4CFB"/>
    <w:rsid w:val="138D6393"/>
    <w:rsid w:val="1476027B"/>
    <w:rsid w:val="16BB7BF2"/>
    <w:rsid w:val="17380CAF"/>
    <w:rsid w:val="17F1066D"/>
    <w:rsid w:val="18370FD7"/>
    <w:rsid w:val="1B112507"/>
    <w:rsid w:val="1B264B9C"/>
    <w:rsid w:val="1B276178"/>
    <w:rsid w:val="1B550A26"/>
    <w:rsid w:val="1C4F2F14"/>
    <w:rsid w:val="1DB501E1"/>
    <w:rsid w:val="1DBB1945"/>
    <w:rsid w:val="1FBF1E4F"/>
    <w:rsid w:val="21411B78"/>
    <w:rsid w:val="225528AF"/>
    <w:rsid w:val="23875BD9"/>
    <w:rsid w:val="23E7496D"/>
    <w:rsid w:val="24361715"/>
    <w:rsid w:val="247A2846"/>
    <w:rsid w:val="24A07BE8"/>
    <w:rsid w:val="24A80E9E"/>
    <w:rsid w:val="267B7ED3"/>
    <w:rsid w:val="2745311C"/>
    <w:rsid w:val="27522393"/>
    <w:rsid w:val="277F2B1D"/>
    <w:rsid w:val="27812F4F"/>
    <w:rsid w:val="28AB1B7C"/>
    <w:rsid w:val="29F81561"/>
    <w:rsid w:val="29FF5EBB"/>
    <w:rsid w:val="2A432A11"/>
    <w:rsid w:val="2AED5534"/>
    <w:rsid w:val="2CC86661"/>
    <w:rsid w:val="2CD74D58"/>
    <w:rsid w:val="2D394BE6"/>
    <w:rsid w:val="2DFF5BF4"/>
    <w:rsid w:val="2F596018"/>
    <w:rsid w:val="2F7D0186"/>
    <w:rsid w:val="2FCF443E"/>
    <w:rsid w:val="2FEA3DA9"/>
    <w:rsid w:val="2FF74637"/>
    <w:rsid w:val="30101481"/>
    <w:rsid w:val="32257840"/>
    <w:rsid w:val="325514DA"/>
    <w:rsid w:val="32A15FA9"/>
    <w:rsid w:val="37445421"/>
    <w:rsid w:val="37592BEB"/>
    <w:rsid w:val="38974561"/>
    <w:rsid w:val="389A008B"/>
    <w:rsid w:val="39527FE4"/>
    <w:rsid w:val="39AD7E9A"/>
    <w:rsid w:val="3AB76520"/>
    <w:rsid w:val="3B1A6AE1"/>
    <w:rsid w:val="3B977022"/>
    <w:rsid w:val="3C2C04DF"/>
    <w:rsid w:val="3D3E083D"/>
    <w:rsid w:val="3DB7549B"/>
    <w:rsid w:val="3E0963F3"/>
    <w:rsid w:val="3F0070CE"/>
    <w:rsid w:val="4058741C"/>
    <w:rsid w:val="409C51F2"/>
    <w:rsid w:val="415E02A1"/>
    <w:rsid w:val="418F299B"/>
    <w:rsid w:val="434B740C"/>
    <w:rsid w:val="470D1CAB"/>
    <w:rsid w:val="472A27D5"/>
    <w:rsid w:val="4808010A"/>
    <w:rsid w:val="48A661D4"/>
    <w:rsid w:val="48C822B3"/>
    <w:rsid w:val="494905FB"/>
    <w:rsid w:val="4A462180"/>
    <w:rsid w:val="4B1C3424"/>
    <w:rsid w:val="4DB0067E"/>
    <w:rsid w:val="50E15E38"/>
    <w:rsid w:val="51EF11DF"/>
    <w:rsid w:val="51F46F6E"/>
    <w:rsid w:val="55477D76"/>
    <w:rsid w:val="55A31CC1"/>
    <w:rsid w:val="55C14297"/>
    <w:rsid w:val="58B62F37"/>
    <w:rsid w:val="58D615B5"/>
    <w:rsid w:val="5B4A6980"/>
    <w:rsid w:val="5B6E0DEB"/>
    <w:rsid w:val="5CB87C9D"/>
    <w:rsid w:val="5E5B3578"/>
    <w:rsid w:val="5F3E077F"/>
    <w:rsid w:val="5F8D1BAF"/>
    <w:rsid w:val="603B50D6"/>
    <w:rsid w:val="607B60E9"/>
    <w:rsid w:val="61CC3020"/>
    <w:rsid w:val="61CD0EF5"/>
    <w:rsid w:val="63AC23C0"/>
    <w:rsid w:val="63D23AAD"/>
    <w:rsid w:val="64903C09"/>
    <w:rsid w:val="64B2065D"/>
    <w:rsid w:val="65A929FF"/>
    <w:rsid w:val="65F444A7"/>
    <w:rsid w:val="66F54D3F"/>
    <w:rsid w:val="66FD2C57"/>
    <w:rsid w:val="68461965"/>
    <w:rsid w:val="68A039DC"/>
    <w:rsid w:val="6AF24CC7"/>
    <w:rsid w:val="6BF125AD"/>
    <w:rsid w:val="6C172B79"/>
    <w:rsid w:val="6C5D5816"/>
    <w:rsid w:val="6D0F0240"/>
    <w:rsid w:val="6D4320B3"/>
    <w:rsid w:val="6E313676"/>
    <w:rsid w:val="6E3A03C5"/>
    <w:rsid w:val="6E3C60D4"/>
    <w:rsid w:val="6E7514E7"/>
    <w:rsid w:val="6EFE1349"/>
    <w:rsid w:val="6F0316C6"/>
    <w:rsid w:val="6FDE4F8F"/>
    <w:rsid w:val="715E53EB"/>
    <w:rsid w:val="71843288"/>
    <w:rsid w:val="71B81279"/>
    <w:rsid w:val="725C1599"/>
    <w:rsid w:val="76E37D2B"/>
    <w:rsid w:val="782D2A35"/>
    <w:rsid w:val="78675596"/>
    <w:rsid w:val="78CF6E32"/>
    <w:rsid w:val="7940109F"/>
    <w:rsid w:val="79B04E89"/>
    <w:rsid w:val="79DD2E80"/>
    <w:rsid w:val="7D6E7119"/>
    <w:rsid w:val="7DD85772"/>
    <w:rsid w:val="7E230853"/>
    <w:rsid w:val="7E9B3946"/>
    <w:rsid w:val="7F64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spacing w:line="240" w:lineRule="auto"/>
      <w:ind w:firstLine="420" w:firstLineChars="200"/>
    </w:pPr>
    <w:rPr>
      <w:szCs w:val="20"/>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outlineLvl w:val="0"/>
    </w:pPr>
    <w:rPr>
      <w:rFonts w:eastAsia="方正小标宋简体" w:cs="Arial"/>
      <w:bCs/>
      <w:sz w:val="40"/>
      <w:szCs w:val="32"/>
    </w:rPr>
  </w:style>
  <w:style w:type="character" w:styleId="11">
    <w:name w:val="page number"/>
    <w:basedOn w:val="10"/>
    <w:qFormat/>
    <w:uiPriority w:val="0"/>
  </w:style>
  <w:style w:type="paragraph" w:customStyle="1" w:styleId="12">
    <w:name w:val="正文-公1"/>
    <w:basedOn w:val="1"/>
    <w:next w:val="6"/>
    <w:qFormat/>
    <w:uiPriority w:val="99"/>
    <w:pPr>
      <w:ind w:firstLine="200" w:firstLineChars="200"/>
    </w:pPr>
    <w:rPr>
      <w:color w:val="000000"/>
      <w:szCs w:val="22"/>
    </w:rPr>
  </w:style>
  <w:style w:type="paragraph" w:customStyle="1" w:styleId="13">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2021-09-30T09:04:57Z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